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58" w:rsidRDefault="004D6D3A" w:rsidP="00B82EEE">
      <w:pPr>
        <w:ind w:firstLine="540"/>
      </w:pPr>
      <w:r>
        <w:t xml:space="preserve">                                                                                                               ПРОЕКТ</w:t>
      </w:r>
    </w:p>
    <w:p w:rsidR="00501458" w:rsidRDefault="00501458" w:rsidP="00501458">
      <w:pPr>
        <w:jc w:val="center"/>
        <w:rPr>
          <w:sz w:val="32"/>
          <w:szCs w:val="32"/>
        </w:rPr>
      </w:pPr>
      <w:r>
        <w:rPr>
          <w:rFonts w:eastAsia="Calibri"/>
          <w:noProof/>
        </w:rPr>
        <w:drawing>
          <wp:inline distT="0" distB="0" distL="0" distR="0">
            <wp:extent cx="611505" cy="791845"/>
            <wp:effectExtent l="0" t="0" r="0" b="8255"/>
            <wp:docPr id="2" name="Рисунок 2" descr="Описание: Герб Новая Лад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ая Ладог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58" w:rsidRDefault="00501458" w:rsidP="00501458">
      <w:pPr>
        <w:jc w:val="center"/>
        <w:rPr>
          <w:sz w:val="24"/>
          <w:szCs w:val="24"/>
        </w:rPr>
      </w:pPr>
      <w:r>
        <w:t>Администрация Новоладожского городского поселения</w:t>
      </w:r>
    </w:p>
    <w:p w:rsidR="00501458" w:rsidRDefault="00501458" w:rsidP="00501458">
      <w:pPr>
        <w:jc w:val="center"/>
      </w:pPr>
    </w:p>
    <w:p w:rsidR="00501458" w:rsidRDefault="00501458" w:rsidP="00501458">
      <w:pPr>
        <w:jc w:val="center"/>
      </w:pPr>
      <w:r>
        <w:t>ПОСТАНОВЛЕНИЕ</w:t>
      </w:r>
    </w:p>
    <w:p w:rsidR="00501458" w:rsidRDefault="00501458" w:rsidP="00501458">
      <w:pPr>
        <w:jc w:val="center"/>
      </w:pPr>
    </w:p>
    <w:p w:rsidR="00501458" w:rsidRDefault="004D6D3A" w:rsidP="00501458">
      <w:pPr>
        <w:ind w:right="-7"/>
      </w:pPr>
      <w:r>
        <w:t>«___»</w:t>
      </w:r>
      <w:r w:rsidR="00C603DF">
        <w:t xml:space="preserve"> </w:t>
      </w:r>
      <w:r>
        <w:t>_______</w:t>
      </w:r>
      <w:r w:rsidR="00C603DF">
        <w:t xml:space="preserve"> </w:t>
      </w:r>
      <w:r w:rsidR="00501458">
        <w:t>202</w:t>
      </w:r>
      <w:r>
        <w:t>4</w:t>
      </w:r>
      <w:r w:rsidR="00A745D0">
        <w:t xml:space="preserve"> </w:t>
      </w:r>
      <w:r w:rsidR="00501458">
        <w:t>г</w:t>
      </w:r>
      <w:r w:rsidR="00C603DF">
        <w:t>ода</w:t>
      </w:r>
      <w:r w:rsidR="00501458">
        <w:t xml:space="preserve">                         </w:t>
      </w:r>
      <w:r>
        <w:t xml:space="preserve">                        </w:t>
      </w:r>
      <w:r w:rsidR="00501458">
        <w:t xml:space="preserve">     </w:t>
      </w:r>
      <w:r w:rsidR="00EE7D80">
        <w:t xml:space="preserve">                 </w:t>
      </w:r>
      <w:r w:rsidR="00501458">
        <w:t xml:space="preserve">   №</w:t>
      </w:r>
      <w:r w:rsidR="00EE7D80">
        <w:t xml:space="preserve"> </w:t>
      </w:r>
      <w:r>
        <w:t>_____</w:t>
      </w:r>
    </w:p>
    <w:p w:rsidR="00501458" w:rsidRDefault="00501458" w:rsidP="00501458">
      <w:pPr>
        <w:ind w:right="-7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01458" w:rsidTr="00501458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501458" w:rsidRPr="00501458" w:rsidRDefault="00501458" w:rsidP="00501458">
            <w:pPr>
              <w:jc w:val="both"/>
            </w:pPr>
            <w:r w:rsidRPr="00501458">
              <w:t xml:space="preserve">Об утверждении программы </w:t>
            </w:r>
            <w:r>
              <w:t xml:space="preserve">МО </w:t>
            </w:r>
            <w:proofErr w:type="spellStart"/>
            <w:r>
              <w:t>Новол</w:t>
            </w:r>
            <w:r w:rsidR="00C076A4">
              <w:t>а</w:t>
            </w:r>
            <w:r>
              <w:t>дожское</w:t>
            </w:r>
            <w:proofErr w:type="spellEnd"/>
            <w:r>
              <w:t xml:space="preserve"> городское поселение </w:t>
            </w:r>
            <w:r w:rsidRPr="00501458">
              <w:t>«</w:t>
            </w:r>
            <w:r w:rsidRPr="00501458">
              <w:rPr>
                <w:rFonts w:eastAsiaTheme="minorHAnsi"/>
                <w:bCs/>
                <w:lang w:eastAsia="en-US"/>
              </w:rPr>
              <w:t>Профилактика рисков причинения вреда (ущерба) охраняемым законом ценностям на 202</w:t>
            </w:r>
            <w:r w:rsidR="004D6D3A">
              <w:rPr>
                <w:rFonts w:eastAsiaTheme="minorHAnsi"/>
                <w:bCs/>
                <w:lang w:eastAsia="en-US"/>
              </w:rPr>
              <w:t>5</w:t>
            </w:r>
            <w:r w:rsidRPr="00501458">
              <w:rPr>
                <w:rFonts w:eastAsiaTheme="minorHAnsi"/>
                <w:bCs/>
                <w:lang w:eastAsia="en-US"/>
              </w:rPr>
              <w:t xml:space="preserve"> год в сфере осуществления муниципального жилищного</w:t>
            </w:r>
            <w:r>
              <w:t xml:space="preserve"> </w:t>
            </w:r>
            <w:r w:rsidRPr="00501458">
              <w:rPr>
                <w:rFonts w:eastAsiaTheme="minorHAnsi"/>
                <w:bCs/>
                <w:lang w:eastAsia="en-US"/>
              </w:rPr>
              <w:t>контроля на территории</w:t>
            </w:r>
            <w:r>
              <w:rPr>
                <w:rFonts w:eastAsiaTheme="minorHAnsi"/>
                <w:bCs/>
                <w:lang w:eastAsia="en-US"/>
              </w:rPr>
              <w:t xml:space="preserve"> МО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Новоладожское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городское поселение</w:t>
            </w:r>
            <w:r w:rsidRPr="00501458">
              <w:rPr>
                <w:rFonts w:eastAsiaTheme="minorHAnsi"/>
                <w:bCs/>
                <w:lang w:eastAsia="en-US"/>
              </w:rPr>
              <w:t>»</w:t>
            </w:r>
          </w:p>
          <w:p w:rsidR="00501458" w:rsidRDefault="00501458" w:rsidP="00501458">
            <w:pPr>
              <w:ind w:right="-7"/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501458" w:rsidRDefault="00501458" w:rsidP="00501458">
            <w:pPr>
              <w:ind w:right="-7"/>
            </w:pPr>
          </w:p>
        </w:tc>
      </w:tr>
    </w:tbl>
    <w:p w:rsidR="00501458" w:rsidRDefault="00501458" w:rsidP="00501458"/>
    <w:p w:rsidR="00501458" w:rsidRDefault="00501458" w:rsidP="00501458"/>
    <w:p w:rsidR="00B82EEE" w:rsidRPr="00501458" w:rsidRDefault="00B82EEE" w:rsidP="00501458">
      <w:pPr>
        <w:ind w:firstLine="851"/>
        <w:jc w:val="both"/>
        <w:rPr>
          <w:sz w:val="16"/>
          <w:szCs w:val="16"/>
        </w:rPr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="00501458">
        <w:t>администрация Новоладожского городского п</w:t>
      </w:r>
      <w:r w:rsidR="00C076A4">
        <w:t>оселения п о с т а н о в л я е т</w:t>
      </w:r>
      <w:r w:rsidRPr="00666C15">
        <w:t>:</w:t>
      </w:r>
    </w:p>
    <w:p w:rsidR="00164668" w:rsidRPr="005C6C71" w:rsidRDefault="00164668" w:rsidP="002E7A1E">
      <w:pPr>
        <w:ind w:firstLine="708"/>
        <w:jc w:val="both"/>
        <w:rPr>
          <w:rFonts w:eastAsiaTheme="minorHAnsi"/>
          <w:bCs/>
          <w:lang w:eastAsia="en-US"/>
        </w:rPr>
      </w:pPr>
      <w:r w:rsidRPr="0018750F">
        <w:t xml:space="preserve">1. Утвердить программу </w:t>
      </w:r>
      <w:r w:rsidR="00501458">
        <w:t xml:space="preserve">МО </w:t>
      </w:r>
      <w:proofErr w:type="spellStart"/>
      <w:r w:rsidR="00501458">
        <w:t>Новоладожское</w:t>
      </w:r>
      <w:proofErr w:type="spellEnd"/>
      <w:r w:rsidR="00501458">
        <w:t xml:space="preserve"> городское поселение </w:t>
      </w:r>
      <w:r w:rsidR="007540B8" w:rsidRPr="007540B8">
        <w:t>«</w:t>
      </w:r>
      <w:r w:rsidR="007540B8" w:rsidRPr="002E7A1E">
        <w:t>Профилактика</w:t>
      </w:r>
      <w:r w:rsidR="007540B8"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на 202</w:t>
      </w:r>
      <w:r w:rsidR="004D6D3A">
        <w:rPr>
          <w:rFonts w:eastAsiaTheme="minorHAnsi"/>
          <w:bCs/>
          <w:lang w:eastAsia="en-US"/>
        </w:rPr>
        <w:t>5</w:t>
      </w:r>
      <w:r w:rsidR="00A745D0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 xml:space="preserve">год в сфере муниципального жилищного контроля на территории </w:t>
      </w:r>
      <w:r w:rsidR="00501458">
        <w:rPr>
          <w:rFonts w:eastAsiaTheme="minorHAnsi"/>
          <w:bCs/>
          <w:lang w:eastAsia="en-US"/>
        </w:rPr>
        <w:t xml:space="preserve">МО </w:t>
      </w:r>
      <w:proofErr w:type="spellStart"/>
      <w:r w:rsidR="00501458">
        <w:rPr>
          <w:rFonts w:eastAsiaTheme="minorHAnsi"/>
          <w:bCs/>
          <w:lang w:eastAsia="en-US"/>
        </w:rPr>
        <w:t>Н</w:t>
      </w:r>
      <w:r w:rsidR="004D6D3A">
        <w:rPr>
          <w:rFonts w:eastAsiaTheme="minorHAnsi"/>
          <w:bCs/>
          <w:lang w:eastAsia="en-US"/>
        </w:rPr>
        <w:t>о</w:t>
      </w:r>
      <w:r w:rsidR="00501458">
        <w:rPr>
          <w:rFonts w:eastAsiaTheme="minorHAnsi"/>
          <w:bCs/>
          <w:lang w:eastAsia="en-US"/>
        </w:rPr>
        <w:t>воладожское</w:t>
      </w:r>
      <w:proofErr w:type="spellEnd"/>
      <w:r w:rsidR="00501458">
        <w:rPr>
          <w:rFonts w:eastAsiaTheme="minorHAnsi"/>
          <w:bCs/>
          <w:lang w:eastAsia="en-US"/>
        </w:rPr>
        <w:t xml:space="preserve"> городское поселение</w:t>
      </w:r>
      <w:r w:rsidR="005C6C71" w:rsidRPr="005C6C71">
        <w:rPr>
          <w:rFonts w:eastAsiaTheme="minorHAnsi"/>
          <w:bCs/>
          <w:lang w:eastAsia="en-US"/>
        </w:rPr>
        <w:t>»</w:t>
      </w:r>
      <w:r w:rsidR="007540B8" w:rsidRPr="005C6C71">
        <w:rPr>
          <w:rFonts w:eastAsiaTheme="minorHAnsi"/>
          <w:bCs/>
          <w:lang w:eastAsia="en-US"/>
        </w:rPr>
        <w:t xml:space="preserve"> </w:t>
      </w:r>
      <w:r w:rsidR="00501458">
        <w:rPr>
          <w:rFonts w:eastAsiaTheme="minorHAnsi"/>
          <w:bCs/>
          <w:lang w:eastAsia="en-US"/>
        </w:rPr>
        <w:t>согласно приложению</w:t>
      </w:r>
      <w:r w:rsidRPr="005C6C71">
        <w:rPr>
          <w:rFonts w:eastAsiaTheme="minorHAnsi"/>
          <w:bCs/>
          <w:lang w:eastAsia="en-US"/>
        </w:rPr>
        <w:t xml:space="preserve">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</w:t>
      </w:r>
      <w:r w:rsidR="00BF293A">
        <w:t xml:space="preserve"> </w:t>
      </w:r>
      <w:r w:rsidR="00BF293A" w:rsidRPr="00BF293A">
        <w:t>и подлежит размещению на официальном сайте администрации Новоладожского городского поселения в сети «Интернет» New-Ladoga-adm.ru.</w:t>
      </w:r>
    </w:p>
    <w:p w:rsidR="00164668" w:rsidRDefault="00FF314A" w:rsidP="00164668">
      <w:pPr>
        <w:ind w:firstLine="708"/>
        <w:jc w:val="both"/>
      </w:pPr>
      <w:r>
        <w:t>3</w:t>
      </w:r>
      <w:r w:rsidR="00164668" w:rsidRPr="0018750F">
        <w:t xml:space="preserve">. Контроль за исполнением настоящего постановления </w:t>
      </w:r>
      <w:proofErr w:type="gramStart"/>
      <w:r w:rsidR="00164668" w:rsidRPr="0018750F">
        <w:t>возложить  на</w:t>
      </w:r>
      <w:proofErr w:type="gramEnd"/>
      <w:r w:rsidR="00164668" w:rsidRPr="0018750F">
        <w:t xml:space="preserve"> </w:t>
      </w:r>
      <w:r>
        <w:t xml:space="preserve"> </w:t>
      </w:r>
      <w:r w:rsidR="00501458">
        <w:t>советника главы администрации по ЖКХ</w:t>
      </w:r>
      <w:r>
        <w:t>.</w:t>
      </w:r>
    </w:p>
    <w:p w:rsidR="00FF314A" w:rsidRDefault="00FF314A" w:rsidP="00BF293A">
      <w:pPr>
        <w:jc w:val="both"/>
      </w:pPr>
    </w:p>
    <w:p w:rsidR="00666C15" w:rsidRPr="00666C15" w:rsidRDefault="004D6D3A" w:rsidP="00FF314A">
      <w:pPr>
        <w:widowControl/>
        <w:jc w:val="both"/>
      </w:pPr>
      <w:proofErr w:type="spellStart"/>
      <w:r>
        <w:t>И.п</w:t>
      </w:r>
      <w:proofErr w:type="spellEnd"/>
      <w:r>
        <w:t xml:space="preserve">. </w:t>
      </w:r>
      <w:proofErr w:type="gramStart"/>
      <w:r>
        <w:t>г</w:t>
      </w:r>
      <w:r w:rsidR="00E5434E">
        <w:t>лав</w:t>
      </w:r>
      <w:r>
        <w:t>ы</w:t>
      </w:r>
      <w:r w:rsidR="00164668" w:rsidRPr="0018750F">
        <w:t xml:space="preserve">  администрации</w:t>
      </w:r>
      <w:proofErr w:type="gramEnd"/>
      <w:r w:rsidR="00164668" w:rsidRPr="0018750F">
        <w:t xml:space="preserve">              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  </w:t>
      </w:r>
      <w:r>
        <w:t>Е.К</w:t>
      </w:r>
      <w:r w:rsidR="00EE7D80">
        <w:t xml:space="preserve">. </w:t>
      </w:r>
      <w:r>
        <w:t>Кравцова</w:t>
      </w:r>
    </w:p>
    <w:p w:rsidR="007540B8" w:rsidRDefault="007540B8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</w:p>
    <w:p w:rsidR="00CC4567" w:rsidRDefault="00B22070" w:rsidP="00B22070">
      <w:pPr>
        <w:tabs>
          <w:tab w:val="left" w:pos="10632"/>
        </w:tabs>
        <w:ind w:right="427"/>
        <w:rPr>
          <w:sz w:val="16"/>
          <w:szCs w:val="16"/>
        </w:rPr>
      </w:pPr>
      <w:r>
        <w:rPr>
          <w:sz w:val="16"/>
          <w:szCs w:val="16"/>
        </w:rPr>
        <w:t>Сажина А.В.</w:t>
      </w:r>
    </w:p>
    <w:p w:rsidR="00B22070" w:rsidRPr="00BF293A" w:rsidRDefault="00B22070" w:rsidP="00BF293A">
      <w:pPr>
        <w:tabs>
          <w:tab w:val="left" w:pos="10632"/>
        </w:tabs>
        <w:ind w:right="427"/>
        <w:rPr>
          <w:sz w:val="16"/>
          <w:szCs w:val="16"/>
        </w:rPr>
      </w:pPr>
      <w:r>
        <w:rPr>
          <w:sz w:val="16"/>
          <w:szCs w:val="16"/>
        </w:rPr>
        <w:t>8(81363)31898</w:t>
      </w:r>
    </w:p>
    <w:p w:rsidR="00A745D0" w:rsidRDefault="00A745D0" w:rsidP="00A745D0">
      <w:pPr>
        <w:tabs>
          <w:tab w:val="left" w:pos="10632"/>
        </w:tabs>
        <w:ind w:right="427"/>
        <w:jc w:val="right"/>
      </w:pPr>
      <w:r>
        <w:lastRenderedPageBreak/>
        <w:t>Приложение</w:t>
      </w:r>
    </w:p>
    <w:p w:rsidR="00A745D0" w:rsidRDefault="00A745D0" w:rsidP="00A745D0">
      <w:pPr>
        <w:tabs>
          <w:tab w:val="left" w:pos="10632"/>
        </w:tabs>
        <w:ind w:right="427"/>
        <w:jc w:val="right"/>
      </w:pPr>
      <w:r>
        <w:t>к постановлению администрации</w:t>
      </w:r>
    </w:p>
    <w:p w:rsidR="00A745D0" w:rsidRDefault="00A745D0" w:rsidP="00A745D0">
      <w:pPr>
        <w:tabs>
          <w:tab w:val="left" w:pos="10632"/>
        </w:tabs>
        <w:ind w:right="427"/>
        <w:jc w:val="right"/>
      </w:pPr>
      <w:r>
        <w:t>Новоладожского городского поселения</w:t>
      </w:r>
    </w:p>
    <w:p w:rsidR="00A745D0" w:rsidRDefault="00A745D0" w:rsidP="00A745D0">
      <w:pPr>
        <w:tabs>
          <w:tab w:val="left" w:pos="10632"/>
        </w:tabs>
        <w:ind w:right="427"/>
        <w:jc w:val="right"/>
      </w:pPr>
      <w:r>
        <w:t xml:space="preserve">от </w:t>
      </w:r>
      <w:r w:rsidR="004D6D3A">
        <w:t>«__</w:t>
      </w:r>
      <w:proofErr w:type="gramStart"/>
      <w:r w:rsidR="004D6D3A">
        <w:t>_»_</w:t>
      </w:r>
      <w:proofErr w:type="gramEnd"/>
      <w:r w:rsidR="004D6D3A">
        <w:t>____</w:t>
      </w:r>
      <w:r w:rsidR="00E205EB">
        <w:t>202</w:t>
      </w:r>
      <w:r w:rsidR="004D6D3A">
        <w:t>4</w:t>
      </w:r>
      <w:r w:rsidR="00E205EB">
        <w:t xml:space="preserve">  №</w:t>
      </w:r>
      <w:r w:rsidR="00EE7D80">
        <w:t xml:space="preserve"> </w:t>
      </w:r>
      <w:r w:rsidR="004D6D3A">
        <w:t>____</w:t>
      </w:r>
    </w:p>
    <w:p w:rsidR="00A745D0" w:rsidRDefault="00A745D0" w:rsidP="00A745D0">
      <w:pPr>
        <w:tabs>
          <w:tab w:val="left" w:pos="10632"/>
        </w:tabs>
        <w:ind w:right="427"/>
        <w:jc w:val="center"/>
      </w:pPr>
    </w:p>
    <w:p w:rsidR="00DF0F42" w:rsidRDefault="00DF0F42" w:rsidP="00E726DA">
      <w:pPr>
        <w:tabs>
          <w:tab w:val="left" w:pos="10632"/>
        </w:tabs>
        <w:ind w:right="427"/>
        <w:jc w:val="center"/>
      </w:pPr>
    </w:p>
    <w:bookmarkEnd w:id="0"/>
    <w:bookmarkEnd w:id="1"/>
    <w:bookmarkEnd w:id="2"/>
    <w:p w:rsidR="00E5434E" w:rsidRPr="00CA5C2F" w:rsidRDefault="00E5434E" w:rsidP="00E5434E">
      <w:pPr>
        <w:jc w:val="center"/>
      </w:pPr>
      <w:r w:rsidRPr="00CA5C2F">
        <w:t>ПАСПОРТ</w:t>
      </w:r>
    </w:p>
    <w:p w:rsidR="00E5434E" w:rsidRPr="00CA5C2F" w:rsidRDefault="00E5434E" w:rsidP="00E5434E">
      <w:pPr>
        <w:jc w:val="center"/>
      </w:pPr>
      <w:r w:rsidRPr="00CA5C2F">
        <w:t xml:space="preserve">муниципальной программы </w:t>
      </w:r>
    </w:p>
    <w:p w:rsidR="00E5434E" w:rsidRPr="00CA5C2F" w:rsidRDefault="00E5434E" w:rsidP="00E5434E">
      <w:pPr>
        <w:jc w:val="center"/>
      </w:pPr>
      <w:r>
        <w:t>Новоладожского городского поселения</w:t>
      </w:r>
    </w:p>
    <w:p w:rsidR="00E5434E" w:rsidRPr="007540B8" w:rsidRDefault="00E5434E" w:rsidP="00E5434E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:rsidR="00E5434E" w:rsidRPr="007540B8" w:rsidRDefault="00E5434E" w:rsidP="00E5434E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>
        <w:rPr>
          <w:rFonts w:eastAsiaTheme="minorHAnsi"/>
          <w:bCs/>
          <w:lang w:eastAsia="en-US"/>
        </w:rPr>
        <w:t xml:space="preserve"> МО </w:t>
      </w:r>
      <w:proofErr w:type="spellStart"/>
      <w:r>
        <w:rPr>
          <w:rFonts w:eastAsiaTheme="minorHAnsi"/>
          <w:bCs/>
          <w:lang w:eastAsia="en-US"/>
        </w:rPr>
        <w:t>Новоладожское</w:t>
      </w:r>
      <w:proofErr w:type="spellEnd"/>
      <w:r>
        <w:rPr>
          <w:rFonts w:eastAsiaTheme="minorHAnsi"/>
          <w:bCs/>
          <w:lang w:eastAsia="en-US"/>
        </w:rPr>
        <w:t xml:space="preserve"> городское поселение </w:t>
      </w:r>
      <w:r w:rsidRPr="007540B8">
        <w:rPr>
          <w:rFonts w:eastAsiaTheme="minorHAnsi"/>
          <w:bCs/>
          <w:lang w:eastAsia="en-US"/>
        </w:rPr>
        <w:t>на 202</w:t>
      </w:r>
      <w:r w:rsidR="004D6D3A">
        <w:rPr>
          <w:rFonts w:eastAsiaTheme="minorHAnsi"/>
          <w:bCs/>
          <w:lang w:eastAsia="en-US"/>
        </w:rPr>
        <w:t>5</w:t>
      </w:r>
      <w:r w:rsidRPr="007540B8">
        <w:rPr>
          <w:rFonts w:eastAsiaTheme="minorHAnsi"/>
          <w:bCs/>
          <w:lang w:eastAsia="en-US"/>
        </w:rPr>
        <w:t xml:space="preserve"> год</w:t>
      </w:r>
    </w:p>
    <w:p w:rsidR="00E5434E" w:rsidRPr="00CA5C2F" w:rsidRDefault="00E5434E" w:rsidP="00E5434E">
      <w:pPr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244"/>
      </w:tblGrid>
      <w:tr w:rsidR="00E5434E" w:rsidTr="00B152F2">
        <w:tc>
          <w:tcPr>
            <w:tcW w:w="4457" w:type="dxa"/>
          </w:tcPr>
          <w:p w:rsidR="00E5434E" w:rsidRDefault="00E5434E" w:rsidP="00B152F2"/>
        </w:tc>
        <w:tc>
          <w:tcPr>
            <w:tcW w:w="5244" w:type="dxa"/>
          </w:tcPr>
          <w:p w:rsidR="00E5434E" w:rsidRPr="00A80198" w:rsidRDefault="00E5434E" w:rsidP="00B152F2"/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E5434E" w:rsidRPr="00A80198" w:rsidRDefault="00E5434E" w:rsidP="00B152F2">
            <w:r>
              <w:t>Советник главы администрации по ЖКХ, отдел по управлению муниципальным имуществом</w:t>
            </w:r>
          </w:p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t>Участники муниципальной программы</w:t>
            </w:r>
          </w:p>
        </w:tc>
        <w:tc>
          <w:tcPr>
            <w:tcW w:w="5244" w:type="dxa"/>
          </w:tcPr>
          <w:p w:rsidR="00E5434E" w:rsidRDefault="00E5434E" w:rsidP="00B152F2">
            <w:r>
              <w:t>Администрация Новоладожского городского поселения</w:t>
            </w:r>
          </w:p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t>Цель муниципальной программы</w:t>
            </w:r>
          </w:p>
        </w:tc>
        <w:tc>
          <w:tcPr>
            <w:tcW w:w="5244" w:type="dxa"/>
          </w:tcPr>
          <w:p w:rsidR="00E5434E" w:rsidRDefault="00E5434E" w:rsidP="00B152F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E5434E" w:rsidRDefault="00E5434E" w:rsidP="00B152F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5434E" w:rsidRDefault="00E5434E" w:rsidP="00B152F2"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t>Задачи муниципальной программы</w:t>
            </w:r>
          </w:p>
        </w:tc>
        <w:tc>
          <w:tcPr>
            <w:tcW w:w="5244" w:type="dxa"/>
          </w:tcPr>
          <w:p w:rsidR="00E5434E" w:rsidRPr="00990C6A" w:rsidRDefault="00E5434E" w:rsidP="00E5434E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E5434E" w:rsidRPr="00990C6A" w:rsidRDefault="00E5434E" w:rsidP="00E5434E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E5434E" w:rsidRPr="00990C6A" w:rsidRDefault="00E5434E" w:rsidP="00E5434E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E5434E" w:rsidRDefault="00E5434E" w:rsidP="00B152F2">
            <w:r w:rsidRPr="00990C6A">
              <w:rPr>
                <w:color w:val="000000" w:themeColor="text1"/>
              </w:rPr>
              <w:lastRenderedPageBreak/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244" w:type="dxa"/>
          </w:tcPr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proofErr w:type="gramStart"/>
            <w:r w:rsidRPr="00990C6A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 МО</w:t>
            </w:r>
            <w:proofErr w:type="gram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Новоладожское</w:t>
            </w:r>
            <w:proofErr w:type="spellEnd"/>
            <w:r>
              <w:rPr>
                <w:color w:val="000000"/>
              </w:rPr>
              <w:t xml:space="preserve"> городское поселение</w:t>
            </w:r>
            <w:r w:rsidRPr="00990C6A">
              <w:rPr>
                <w:color w:val="000000"/>
              </w:rPr>
              <w:t>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>
              <w:rPr>
                <w:color w:val="000000"/>
              </w:rPr>
              <w:t>Новоладожского городского поселения</w:t>
            </w:r>
            <w:r w:rsidRPr="00990C6A">
              <w:rPr>
                <w:color w:val="000000"/>
              </w:rPr>
              <w:t>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>
              <w:rPr>
                <w:color w:val="000000"/>
              </w:rPr>
              <w:t xml:space="preserve"> отдела по управлению муниципальным имуществом</w:t>
            </w:r>
            <w:r w:rsidRPr="00990C6A">
              <w:rPr>
                <w:color w:val="000000"/>
              </w:rPr>
              <w:t>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>
              <w:rPr>
                <w:color w:val="000000"/>
              </w:rPr>
              <w:t>отдела по управлению муниципальным имуществом</w:t>
            </w:r>
            <w:r w:rsidRPr="00990C6A">
              <w:rPr>
                <w:color w:val="000000"/>
              </w:rPr>
              <w:t>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E5434E" w:rsidRPr="00990C6A" w:rsidRDefault="00E5434E" w:rsidP="00B152F2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E5434E" w:rsidRDefault="00E5434E" w:rsidP="00B152F2">
            <w:r w:rsidRPr="00990C6A">
              <w:rPr>
                <w:color w:val="000000"/>
              </w:rPr>
              <w:t>11. Мотивация контролируемых лиц к добросовестному поведению.</w:t>
            </w:r>
          </w:p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t>Проекты, реализуемые в рамках муниципальной программы</w:t>
            </w:r>
          </w:p>
        </w:tc>
        <w:tc>
          <w:tcPr>
            <w:tcW w:w="5244" w:type="dxa"/>
          </w:tcPr>
          <w:p w:rsidR="00E5434E" w:rsidRPr="00490CA8" w:rsidRDefault="00E5434E" w:rsidP="00B152F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09"/>
              <w:jc w:val="both"/>
            </w:pPr>
            <w:r w:rsidRPr="00490CA8">
              <w:t xml:space="preserve">- размещение на официальном сайте администрации </w:t>
            </w:r>
            <w:r>
              <w:t xml:space="preserve">Новоладожского городского поселения </w:t>
            </w:r>
            <w:r w:rsidRPr="00490CA8">
              <w:t xml:space="preserve">в сети «Интернет» перечней нормативных правовых актов или их отдельных частей, содержащих </w:t>
            </w:r>
            <w:r w:rsidRPr="00490CA8">
              <w:lastRenderedPageBreak/>
              <w:t xml:space="preserve">обязательные требования, оценка соблюдения которых является предметом муниципального </w:t>
            </w:r>
            <w:r>
              <w:t>жилищного</w:t>
            </w:r>
            <w:r w:rsidRPr="00490CA8">
              <w:t xml:space="preserve"> контроля, а также </w:t>
            </w:r>
            <w:proofErr w:type="gramStart"/>
            <w:r w:rsidRPr="00490CA8">
              <w:t>текстов</w:t>
            </w:r>
            <w:proofErr w:type="gramEnd"/>
            <w:r w:rsidRPr="00490CA8">
              <w:t xml:space="preserve"> соответствующих нормативных правовых актов;</w:t>
            </w:r>
          </w:p>
          <w:p w:rsidR="00E5434E" w:rsidRPr="00490CA8" w:rsidRDefault="00E5434E" w:rsidP="00B152F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09"/>
              <w:jc w:val="both"/>
            </w:pPr>
            <w:r w:rsidRPr="00490CA8">
      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      </w:r>
          </w:p>
          <w:p w:rsidR="00E5434E" w:rsidRPr="00490CA8" w:rsidRDefault="00E5434E" w:rsidP="00B152F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09"/>
              <w:jc w:val="both"/>
            </w:pPr>
            <w:r w:rsidRPr="00490CA8">
              <w:t xml:space="preserve">- обеспечение регулярного обобщения практики осуществления муниципального </w:t>
            </w:r>
            <w:r>
              <w:t>жилищного</w:t>
            </w:r>
            <w:r w:rsidRPr="00490CA8">
              <w:t xml:space="preserve"> контроля и размещение на официальном интернет-сайте администрации </w:t>
            </w:r>
            <w:r>
              <w:t xml:space="preserve">Новоладожского городского поселения </w:t>
            </w:r>
            <w:r w:rsidRPr="00490CA8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E5434E" w:rsidRPr="00490CA8" w:rsidRDefault="00E5434E" w:rsidP="00B152F2">
            <w:pPr>
              <w:widowControl/>
              <w:tabs>
                <w:tab w:val="left" w:pos="851"/>
              </w:tabs>
              <w:autoSpaceDE/>
              <w:autoSpaceDN/>
              <w:adjustRightInd/>
              <w:ind w:firstLine="709"/>
              <w:jc w:val="both"/>
            </w:pPr>
            <w:r w:rsidRPr="00490CA8">
              <w:t>- выдача предостережений о недопустимости нарушения обязательных требований.</w:t>
            </w:r>
          </w:p>
          <w:p w:rsidR="00E5434E" w:rsidRDefault="00E5434E" w:rsidP="00B152F2"/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</w:tcPr>
          <w:p w:rsidR="00E5434E" w:rsidRDefault="00E5434E" w:rsidP="00B152F2">
            <w:r>
              <w:t>0,0 тыс. рублей</w:t>
            </w:r>
          </w:p>
        </w:tc>
      </w:tr>
      <w:tr w:rsidR="00E5434E" w:rsidTr="00B152F2">
        <w:tc>
          <w:tcPr>
            <w:tcW w:w="4457" w:type="dxa"/>
          </w:tcPr>
          <w:p w:rsidR="00E5434E" w:rsidRDefault="00E5434E" w:rsidP="00B152F2">
            <w: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244" w:type="dxa"/>
          </w:tcPr>
          <w:p w:rsidR="00E5434E" w:rsidRDefault="00E5434E" w:rsidP="00B152F2"/>
        </w:tc>
      </w:tr>
    </w:tbl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FD21CE">
        <w:rPr>
          <w:b/>
        </w:rPr>
        <w:t>Советника главы администрации по ЖКХ, ведущего специалиста по жилищным вопросам, отдела по управлению муниципальным имуществом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:rsidR="00BC1EE6" w:rsidRDefault="00BC1EE6" w:rsidP="00490CA8">
      <w:pPr>
        <w:ind w:firstLine="709"/>
        <w:jc w:val="both"/>
      </w:pPr>
      <w:r w:rsidRPr="00490CA8">
        <w:t>1.</w:t>
      </w:r>
      <w:proofErr w:type="gramStart"/>
      <w:r w:rsidRPr="00490CA8">
        <w:t>2.</w:t>
      </w:r>
      <w:r w:rsidR="007540B8" w:rsidRPr="007540B8">
        <w:t>Предметом</w:t>
      </w:r>
      <w:proofErr w:type="gramEnd"/>
      <w:r w:rsidR="007540B8" w:rsidRPr="007540B8">
        <w:t xml:space="preserve">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</w:t>
      </w:r>
      <w:r w:rsidR="002E7A1E">
        <w:t xml:space="preserve">, находящегося в собственности МО </w:t>
      </w:r>
      <w:proofErr w:type="spellStart"/>
      <w:r w:rsidR="00FD21CE">
        <w:t>Новоладожское</w:t>
      </w:r>
      <w:proofErr w:type="spellEnd"/>
      <w:r w:rsidR="00FD21CE">
        <w:t xml:space="preserve"> городское поселение</w:t>
      </w:r>
      <w:r w:rsidR="002E7A1E">
        <w:t>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9D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proofErr w:type="spellStart"/>
      <w:r w:rsidR="009D1DBE">
        <w:rPr>
          <w:rFonts w:ascii="Times New Roman" w:eastAsia="Calibri" w:hAnsi="Times New Roman" w:cs="Times New Roman"/>
          <w:sz w:val="28"/>
          <w:szCs w:val="28"/>
          <w:lang w:eastAsia="en-US"/>
        </w:rPr>
        <w:t>Новоладожское</w:t>
      </w:r>
      <w:proofErr w:type="spellEnd"/>
      <w:r w:rsidR="009D1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городское поселение 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4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в 20</w:t>
      </w:r>
      <w:r w:rsidR="004D6D3A">
        <w:t>25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9531E6">
        <w:t xml:space="preserve">Новоладожского городского поселения </w:t>
      </w:r>
      <w:r w:rsidR="00BC1EE6" w:rsidRPr="00490CA8">
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proofErr w:type="gramStart"/>
      <w:r w:rsidR="00BC1EE6" w:rsidRPr="00490CA8">
        <w:t>текстов</w:t>
      </w:r>
      <w:proofErr w:type="gramEnd"/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9531E6">
        <w:t xml:space="preserve">Новоладожского городского поселения </w:t>
      </w:r>
      <w:r w:rsidR="00BC1EE6" w:rsidRPr="00490CA8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Default="00D14DF5" w:rsidP="004F42FB">
      <w:pPr>
        <w:pStyle w:val="ae"/>
        <w:widowControl/>
        <w:autoSpaceDE/>
        <w:autoSpaceDN/>
        <w:adjustRightInd/>
        <w:rPr>
          <w:b/>
        </w:rPr>
      </w:pPr>
      <w:proofErr w:type="gramStart"/>
      <w:r w:rsidRPr="00990C6A">
        <w:rPr>
          <w:b/>
        </w:rPr>
        <w:t xml:space="preserve">Раздел </w:t>
      </w:r>
      <w:r w:rsidR="00A745D0">
        <w:rPr>
          <w:b/>
        </w:rPr>
        <w:t xml:space="preserve"> </w:t>
      </w:r>
      <w:r w:rsidRPr="00990C6A">
        <w:rPr>
          <w:b/>
        </w:rPr>
        <w:t>2</w:t>
      </w:r>
      <w:proofErr w:type="gramEnd"/>
      <w:r w:rsidRPr="00990C6A">
        <w:rPr>
          <w:b/>
        </w:rPr>
        <w:t xml:space="preserve">. </w:t>
      </w:r>
      <w:r w:rsidR="00A745D0">
        <w:rPr>
          <w:b/>
        </w:rPr>
        <w:t xml:space="preserve"> </w:t>
      </w:r>
      <w:r w:rsidRPr="00990C6A">
        <w:rPr>
          <w:b/>
        </w:rPr>
        <w:t>Цели и задачи реализации программы профилактики</w:t>
      </w:r>
    </w:p>
    <w:p w:rsidR="00A745D0" w:rsidRPr="00990C6A" w:rsidRDefault="00A745D0" w:rsidP="004F42FB">
      <w:pPr>
        <w:pStyle w:val="ae"/>
        <w:widowControl/>
        <w:autoSpaceDE/>
        <w:autoSpaceDN/>
        <w:adjustRightInd/>
        <w:rPr>
          <w:b/>
        </w:rPr>
      </w:pP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</w:t>
      </w:r>
      <w:proofErr w:type="gramStart"/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</w:t>
      </w:r>
      <w:proofErr w:type="gramEnd"/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 xml:space="preserve">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331">
        <w:rPr>
          <w:sz w:val="28"/>
          <w:szCs w:val="28"/>
        </w:rPr>
        <w:t xml:space="preserve"> 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FC0E20" w:rsidRPr="00FC0E20">
        <w:rPr>
          <w:sz w:val="28"/>
          <w:szCs w:val="28"/>
        </w:rPr>
        <w:tab/>
        <w:t>требований в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Определяемый программой профилактики </w:t>
      </w:r>
      <w:r w:rsidR="00801384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</w:rPr>
        <w:t>му</w:t>
      </w:r>
      <w:r w:rsidR="009A2FC7">
        <w:rPr>
          <w:sz w:val="28"/>
          <w:szCs w:val="28"/>
        </w:rPr>
        <w:t xml:space="preserve">ниципального </w:t>
      </w:r>
      <w:r w:rsidR="00AB651C">
        <w:rPr>
          <w:sz w:val="28"/>
          <w:szCs w:val="28"/>
        </w:rPr>
        <w:t xml:space="preserve">жилищного 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 xml:space="preserve">жилищного законодательства, </w:t>
      </w:r>
      <w:r w:rsidR="0030318C">
        <w:rPr>
          <w:sz w:val="28"/>
          <w:szCs w:val="28"/>
        </w:rPr>
        <w:t xml:space="preserve"> </w:t>
      </w:r>
      <w:r w:rsidR="0030318C" w:rsidRPr="0030318C">
        <w:rPr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</w:rPr>
        <w:t xml:space="preserve">муниципального </w:t>
      </w:r>
      <w:r w:rsidR="0030318C">
        <w:rPr>
          <w:sz w:val="28"/>
          <w:szCs w:val="28"/>
        </w:rPr>
        <w:t>жилищного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Показатель "</w:t>
      </w:r>
      <w:proofErr w:type="spellStart"/>
      <w:r w:rsidRPr="00CB60A2">
        <w:rPr>
          <w:sz w:val="28"/>
          <w:szCs w:val="28"/>
        </w:rPr>
        <w:t>Впм</w:t>
      </w:r>
      <w:proofErr w:type="spellEnd"/>
      <w:r w:rsidRPr="00CB60A2">
        <w:rPr>
          <w:sz w:val="28"/>
          <w:szCs w:val="28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</w:rPr>
        <w:t xml:space="preserve">жилищного </w:t>
      </w:r>
      <w:r w:rsidR="00927A09">
        <w:rPr>
          <w:sz w:val="28"/>
          <w:szCs w:val="28"/>
        </w:rPr>
        <w:t>законодательства</w:t>
      </w:r>
      <w:r w:rsidR="0030318C">
        <w:rPr>
          <w:sz w:val="28"/>
          <w:szCs w:val="28"/>
        </w:rPr>
        <w:t>,</w:t>
      </w:r>
      <w:r w:rsidR="0030318C" w:rsidRPr="0030318C">
        <w:rPr>
          <w:sz w:val="28"/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</w:rPr>
        <w:t xml:space="preserve"> </w:t>
      </w:r>
      <w:r w:rsidR="00927A09" w:rsidRPr="00CB60A2">
        <w:rPr>
          <w:sz w:val="28"/>
          <w:szCs w:val="28"/>
        </w:rPr>
        <w:t>(</w:t>
      </w:r>
      <w:proofErr w:type="spellStart"/>
      <w:r w:rsidR="00927A09"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proofErr w:type="spellEnd"/>
      <w:r w:rsidR="00927A09" w:rsidRPr="00CB60A2">
        <w:rPr>
          <w:sz w:val="28"/>
          <w:szCs w:val="28"/>
        </w:rPr>
        <w:t>)</w:t>
      </w:r>
      <w:r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</w:rPr>
        <w:t>К</w:t>
      </w:r>
      <w:r w:rsidR="00454709">
        <w:rPr>
          <w:sz w:val="28"/>
          <w:szCs w:val="28"/>
        </w:rPr>
        <w:t>пм</w:t>
      </w:r>
      <w:proofErr w:type="spellEnd"/>
      <w:r w:rsidRPr="00CB60A2">
        <w:rPr>
          <w:sz w:val="28"/>
          <w:szCs w:val="28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Впм</w:t>
      </w:r>
      <w:proofErr w:type="spellEnd"/>
      <w:r>
        <w:rPr>
          <w:sz w:val="28"/>
          <w:szCs w:val="28"/>
        </w:rPr>
        <w:t xml:space="preserve"> = </w:t>
      </w:r>
      <w:r w:rsidR="00CB60A2" w:rsidRPr="00CB60A2">
        <w:rPr>
          <w:sz w:val="28"/>
          <w:szCs w:val="28"/>
        </w:rPr>
        <w:t>(</w:t>
      </w:r>
      <w:proofErr w:type="spellStart"/>
      <w:r w:rsidR="00A91EEF">
        <w:rPr>
          <w:sz w:val="28"/>
          <w:szCs w:val="28"/>
        </w:rPr>
        <w:t>Кн</w:t>
      </w:r>
      <w:proofErr w:type="spellEnd"/>
      <w:r w:rsidR="00CB60A2" w:rsidRPr="00CB60A2">
        <w:rPr>
          <w:sz w:val="28"/>
          <w:szCs w:val="28"/>
        </w:rPr>
        <w:t xml:space="preserve"> / </w:t>
      </w:r>
      <w:proofErr w:type="spellStart"/>
      <w:proofErr w:type="gramStart"/>
      <w:r w:rsidR="00A91EEF">
        <w:rPr>
          <w:sz w:val="28"/>
          <w:szCs w:val="28"/>
        </w:rPr>
        <w:t>Кпм</w:t>
      </w:r>
      <w:proofErr w:type="spellEnd"/>
      <w:r w:rsidR="00A91EEF" w:rsidRPr="00CB60A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CB60A2" w:rsidRPr="00CB60A2">
        <w:rPr>
          <w:sz w:val="28"/>
          <w:szCs w:val="28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5"/>
          <w:footerReference w:type="default" r:id="rId1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proofErr w:type="gramStart"/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  <w:proofErr w:type="gramEnd"/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4D6D3A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4D6D3A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4D6D3A">
              <w:rPr>
                <w:b/>
                <w:sz w:val="24"/>
                <w:szCs w:val="24"/>
              </w:rPr>
              <w:t>5</w:t>
            </w:r>
            <w:bookmarkStart w:id="3" w:name="_GoBack"/>
            <w:bookmarkEnd w:id="3"/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CC2062">
        <w:trPr>
          <w:trHeight w:hRule="exact" w:val="2970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9531E6">
              <w:rPr>
                <w:rFonts w:ascii="Times New Roman" w:hAnsi="Times New Roman" w:cs="Times New Roman"/>
                <w:sz w:val="24"/>
                <w:szCs w:val="24"/>
              </w:rPr>
              <w:t xml:space="preserve">Новоладожского городского поселения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531E6" w:rsidP="009531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главы </w:t>
            </w:r>
            <w:proofErr w:type="spellStart"/>
            <w:r>
              <w:rPr>
                <w:sz w:val="24"/>
                <w:szCs w:val="24"/>
              </w:rPr>
              <w:t>администрациипо</w:t>
            </w:r>
            <w:proofErr w:type="spellEnd"/>
            <w:r>
              <w:rPr>
                <w:sz w:val="24"/>
                <w:szCs w:val="24"/>
              </w:rPr>
              <w:t xml:space="preserve"> ЖКХ 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CC2062">
        <w:trPr>
          <w:trHeight w:hRule="exact" w:val="4091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6835B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9531E6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9531E6">
              <w:rPr>
                <w:sz w:val="22"/>
                <w:szCs w:val="22"/>
              </w:rPr>
              <w:t xml:space="preserve">Новоладожского городского поселения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531E6" w:rsidP="009531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главы </w:t>
            </w:r>
            <w:proofErr w:type="spellStart"/>
            <w:r>
              <w:rPr>
                <w:sz w:val="24"/>
                <w:szCs w:val="24"/>
              </w:rPr>
              <w:t>администрациипо</w:t>
            </w:r>
            <w:proofErr w:type="spellEnd"/>
            <w:r>
              <w:rPr>
                <w:sz w:val="24"/>
                <w:szCs w:val="24"/>
              </w:rPr>
              <w:t xml:space="preserve"> ЖКХ 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9531E6">
              <w:rPr>
                <w:rFonts w:eastAsia="Calibri"/>
                <w:sz w:val="24"/>
                <w:szCs w:val="24"/>
                <w:lang w:eastAsia="en-US"/>
              </w:rPr>
              <w:t xml:space="preserve">Новоладожского городского поселения 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531E6">
              <w:rPr>
                <w:rFonts w:eastAsia="Calibri"/>
                <w:sz w:val="24"/>
                <w:szCs w:val="24"/>
                <w:lang w:eastAsia="en-US"/>
              </w:rPr>
              <w:t>Первый з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аместитель главы администрации)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фонда, благоустройства и транспорта 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Доля </w:t>
            </w:r>
            <w:proofErr w:type="gramStart"/>
            <w:r w:rsidRPr="00C1599C">
              <w:rPr>
                <w:sz w:val="24"/>
                <w:szCs w:val="24"/>
              </w:rPr>
              <w:t>граждан</w:t>
            </w:r>
            <w:proofErr w:type="gramEnd"/>
            <w:r w:rsidRPr="00C1599C">
              <w:rPr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71" w:rsidRDefault="00C97071">
      <w:r>
        <w:separator/>
      </w:r>
    </w:p>
  </w:endnote>
  <w:endnote w:type="continuationSeparator" w:id="0">
    <w:p w:rsidR="00C97071" w:rsidRDefault="00C9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71" w:rsidRDefault="00C97071">
      <w:r>
        <w:separator/>
      </w:r>
    </w:p>
  </w:footnote>
  <w:footnote w:type="continuationSeparator" w:id="0">
    <w:p w:rsidR="00C97071" w:rsidRDefault="00C9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089"/>
    <w:rsid w:val="00013EDA"/>
    <w:rsid w:val="00074EEA"/>
    <w:rsid w:val="0009109C"/>
    <w:rsid w:val="000933F2"/>
    <w:rsid w:val="000D15EF"/>
    <w:rsid w:val="000F4201"/>
    <w:rsid w:val="00132ABB"/>
    <w:rsid w:val="001406E3"/>
    <w:rsid w:val="00155412"/>
    <w:rsid w:val="00164668"/>
    <w:rsid w:val="001830FD"/>
    <w:rsid w:val="001847A7"/>
    <w:rsid w:val="001A684F"/>
    <w:rsid w:val="00231BC0"/>
    <w:rsid w:val="00243C8D"/>
    <w:rsid w:val="002626B7"/>
    <w:rsid w:val="002655BA"/>
    <w:rsid w:val="00276FA9"/>
    <w:rsid w:val="002C27F1"/>
    <w:rsid w:val="002C43A3"/>
    <w:rsid w:val="002E7A1E"/>
    <w:rsid w:val="002F31EF"/>
    <w:rsid w:val="0030318C"/>
    <w:rsid w:val="00320242"/>
    <w:rsid w:val="003206B4"/>
    <w:rsid w:val="003759ED"/>
    <w:rsid w:val="00396950"/>
    <w:rsid w:val="003D4FEF"/>
    <w:rsid w:val="003F03FE"/>
    <w:rsid w:val="00411B9C"/>
    <w:rsid w:val="00454709"/>
    <w:rsid w:val="00490CA8"/>
    <w:rsid w:val="004C3529"/>
    <w:rsid w:val="004D3E03"/>
    <w:rsid w:val="004D6D3A"/>
    <w:rsid w:val="004F42FB"/>
    <w:rsid w:val="00501458"/>
    <w:rsid w:val="00503B5D"/>
    <w:rsid w:val="00525968"/>
    <w:rsid w:val="00544E78"/>
    <w:rsid w:val="00584F61"/>
    <w:rsid w:val="005C2DC1"/>
    <w:rsid w:val="005C4573"/>
    <w:rsid w:val="005C6C71"/>
    <w:rsid w:val="00627E9A"/>
    <w:rsid w:val="006405E0"/>
    <w:rsid w:val="00651514"/>
    <w:rsid w:val="00666C15"/>
    <w:rsid w:val="006835B4"/>
    <w:rsid w:val="006B3089"/>
    <w:rsid w:val="006C0413"/>
    <w:rsid w:val="006F0F06"/>
    <w:rsid w:val="007002EF"/>
    <w:rsid w:val="00704CD1"/>
    <w:rsid w:val="0071720B"/>
    <w:rsid w:val="00722CCC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26B7A"/>
    <w:rsid w:val="00836DD5"/>
    <w:rsid w:val="00852451"/>
    <w:rsid w:val="00867099"/>
    <w:rsid w:val="00887E66"/>
    <w:rsid w:val="008E17E3"/>
    <w:rsid w:val="00927A09"/>
    <w:rsid w:val="0093793E"/>
    <w:rsid w:val="009531E6"/>
    <w:rsid w:val="00962C23"/>
    <w:rsid w:val="00990C6A"/>
    <w:rsid w:val="0099402A"/>
    <w:rsid w:val="009A2E59"/>
    <w:rsid w:val="009A2FC7"/>
    <w:rsid w:val="009B5146"/>
    <w:rsid w:val="009D1DBE"/>
    <w:rsid w:val="00A12FBC"/>
    <w:rsid w:val="00A32D01"/>
    <w:rsid w:val="00A41293"/>
    <w:rsid w:val="00A745D0"/>
    <w:rsid w:val="00A77D90"/>
    <w:rsid w:val="00A91EEF"/>
    <w:rsid w:val="00AB03A8"/>
    <w:rsid w:val="00AB651C"/>
    <w:rsid w:val="00AC2B39"/>
    <w:rsid w:val="00B22070"/>
    <w:rsid w:val="00B33828"/>
    <w:rsid w:val="00B33FC4"/>
    <w:rsid w:val="00B82EEE"/>
    <w:rsid w:val="00BB4722"/>
    <w:rsid w:val="00BC1EE6"/>
    <w:rsid w:val="00BC246F"/>
    <w:rsid w:val="00BF293A"/>
    <w:rsid w:val="00C026F4"/>
    <w:rsid w:val="00C076A4"/>
    <w:rsid w:val="00C1599C"/>
    <w:rsid w:val="00C338A7"/>
    <w:rsid w:val="00C43180"/>
    <w:rsid w:val="00C603DF"/>
    <w:rsid w:val="00C70404"/>
    <w:rsid w:val="00C808D9"/>
    <w:rsid w:val="00C97071"/>
    <w:rsid w:val="00CA0E95"/>
    <w:rsid w:val="00CA6331"/>
    <w:rsid w:val="00CA7F0F"/>
    <w:rsid w:val="00CB60A2"/>
    <w:rsid w:val="00CC2062"/>
    <w:rsid w:val="00CC4567"/>
    <w:rsid w:val="00D1259B"/>
    <w:rsid w:val="00D14DF5"/>
    <w:rsid w:val="00D263B6"/>
    <w:rsid w:val="00D63568"/>
    <w:rsid w:val="00D96A56"/>
    <w:rsid w:val="00DC0050"/>
    <w:rsid w:val="00DC5BF3"/>
    <w:rsid w:val="00DE1EF1"/>
    <w:rsid w:val="00DF0F42"/>
    <w:rsid w:val="00DF157C"/>
    <w:rsid w:val="00E0258A"/>
    <w:rsid w:val="00E205EB"/>
    <w:rsid w:val="00E31A96"/>
    <w:rsid w:val="00E5220B"/>
    <w:rsid w:val="00E5434E"/>
    <w:rsid w:val="00E726DA"/>
    <w:rsid w:val="00E82F50"/>
    <w:rsid w:val="00E87EFB"/>
    <w:rsid w:val="00EA5CBB"/>
    <w:rsid w:val="00EC6E49"/>
    <w:rsid w:val="00EE7D80"/>
    <w:rsid w:val="00EF55C9"/>
    <w:rsid w:val="00F45635"/>
    <w:rsid w:val="00F967B1"/>
    <w:rsid w:val="00FC0E20"/>
    <w:rsid w:val="00FD21CE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6CC6"/>
  <w15:docId w15:val="{33E11091-9050-4517-9E20-447BD13E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4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4F39-54DF-4F9B-B0E7-43256570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Саша Сажина</cp:lastModifiedBy>
  <cp:revision>11</cp:revision>
  <cp:lastPrinted>2021-10-07T06:00:00Z</cp:lastPrinted>
  <dcterms:created xsi:type="dcterms:W3CDTF">2022-09-26T14:20:00Z</dcterms:created>
  <dcterms:modified xsi:type="dcterms:W3CDTF">2024-10-17T11:23:00Z</dcterms:modified>
</cp:coreProperties>
</file>