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D3" w:rsidRPr="004B24D3" w:rsidRDefault="004B24D3" w:rsidP="004B24D3">
      <w:pPr>
        <w:tabs>
          <w:tab w:val="left" w:pos="1155"/>
        </w:tabs>
        <w:jc w:val="center"/>
        <w:rPr>
          <w:color w:val="000000"/>
          <w:sz w:val="28"/>
          <w:szCs w:val="28"/>
        </w:rPr>
      </w:pPr>
      <w:r w:rsidRPr="004B24D3">
        <w:rPr>
          <w:noProof/>
          <w:sz w:val="28"/>
          <w:szCs w:val="28"/>
        </w:rPr>
        <w:drawing>
          <wp:inline distT="0" distB="0" distL="0" distR="0" wp14:anchorId="4EC6E96A" wp14:editId="3FF55CDA">
            <wp:extent cx="609600" cy="790575"/>
            <wp:effectExtent l="0" t="0" r="0" b="9525"/>
            <wp:docPr id="1"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4B24D3" w:rsidRPr="004B24D3" w:rsidRDefault="004B24D3" w:rsidP="004B24D3">
      <w:pPr>
        <w:jc w:val="center"/>
        <w:rPr>
          <w:sz w:val="28"/>
          <w:szCs w:val="28"/>
        </w:rPr>
      </w:pPr>
      <w:r w:rsidRPr="004B24D3">
        <w:rPr>
          <w:sz w:val="28"/>
          <w:szCs w:val="28"/>
        </w:rPr>
        <w:t>Администрация Новоладожского городского поселения</w:t>
      </w:r>
    </w:p>
    <w:p w:rsidR="004B24D3" w:rsidRPr="004B24D3" w:rsidRDefault="004B24D3" w:rsidP="004B24D3">
      <w:pPr>
        <w:jc w:val="center"/>
        <w:rPr>
          <w:sz w:val="28"/>
          <w:szCs w:val="28"/>
        </w:rPr>
      </w:pPr>
    </w:p>
    <w:p w:rsidR="004B24D3" w:rsidRPr="004B24D3" w:rsidRDefault="004B24D3" w:rsidP="004B24D3">
      <w:pPr>
        <w:jc w:val="center"/>
        <w:rPr>
          <w:sz w:val="28"/>
          <w:szCs w:val="28"/>
        </w:rPr>
      </w:pPr>
      <w:r w:rsidRPr="004B24D3">
        <w:rPr>
          <w:sz w:val="28"/>
          <w:szCs w:val="28"/>
        </w:rPr>
        <w:t>ПОСТАНОВЛЕНИЕ</w:t>
      </w:r>
    </w:p>
    <w:p w:rsidR="004B24D3" w:rsidRPr="004B24D3" w:rsidRDefault="004B24D3" w:rsidP="004B24D3">
      <w:pPr>
        <w:rPr>
          <w:sz w:val="28"/>
          <w:szCs w:val="28"/>
        </w:rPr>
      </w:pPr>
    </w:p>
    <w:p w:rsidR="004B24D3" w:rsidRPr="004B24D3" w:rsidRDefault="004B24D3" w:rsidP="004B24D3">
      <w:pPr>
        <w:rPr>
          <w:sz w:val="28"/>
          <w:szCs w:val="28"/>
        </w:rPr>
      </w:pPr>
      <w:r w:rsidRPr="004B24D3">
        <w:rPr>
          <w:sz w:val="28"/>
          <w:szCs w:val="28"/>
        </w:rPr>
        <w:t xml:space="preserve"> «21» декабря 2022г.                                                                                                    № 743</w:t>
      </w:r>
    </w:p>
    <w:p w:rsidR="004B24D3" w:rsidRPr="004B24D3" w:rsidRDefault="004B24D3" w:rsidP="004B24D3">
      <w:pPr>
        <w:rPr>
          <w:sz w:val="28"/>
          <w:szCs w:val="28"/>
        </w:rPr>
      </w:pPr>
    </w:p>
    <w:p w:rsidR="004B24D3" w:rsidRPr="004B24D3" w:rsidRDefault="004B24D3" w:rsidP="004B24D3">
      <w:pPr>
        <w:tabs>
          <w:tab w:val="left" w:pos="6096"/>
        </w:tabs>
        <w:ind w:right="3719"/>
        <w:jc w:val="both"/>
        <w:rPr>
          <w:b/>
          <w:color w:val="000000"/>
          <w:sz w:val="28"/>
          <w:szCs w:val="28"/>
        </w:rPr>
      </w:pPr>
      <w:proofErr w:type="gramStart"/>
      <w:r w:rsidRPr="004B24D3">
        <w:rPr>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24D3">
        <w:rPr>
          <w:color w:val="000000"/>
          <w:sz w:val="28"/>
          <w:szCs w:val="28"/>
        </w:rPr>
        <w:t xml:space="preserve"> на территории муниципального образования Новоладожское городское поселение Волховского муниципального района</w:t>
      </w:r>
      <w:proofErr w:type="gramEnd"/>
      <w:r w:rsidRPr="004B24D3">
        <w:rPr>
          <w:color w:val="000000"/>
          <w:sz w:val="28"/>
          <w:szCs w:val="28"/>
        </w:rPr>
        <w:t xml:space="preserve"> Ленинградской области</w:t>
      </w:r>
    </w:p>
    <w:p w:rsidR="004B24D3" w:rsidRPr="004B24D3" w:rsidRDefault="004B24D3" w:rsidP="004B24D3">
      <w:pPr>
        <w:rPr>
          <w:sz w:val="28"/>
          <w:szCs w:val="28"/>
        </w:rPr>
      </w:pPr>
    </w:p>
    <w:p w:rsidR="004B24D3" w:rsidRPr="004B24D3" w:rsidRDefault="004B24D3" w:rsidP="004B24D3">
      <w:pPr>
        <w:ind w:firstLine="851"/>
        <w:jc w:val="both"/>
        <w:rPr>
          <w:sz w:val="28"/>
          <w:szCs w:val="28"/>
        </w:rPr>
      </w:pPr>
      <w:proofErr w:type="gramStart"/>
      <w:r w:rsidRPr="004B24D3">
        <w:rPr>
          <w:sz w:val="28"/>
          <w:szCs w:val="28"/>
        </w:rPr>
        <w:t>В соответствии с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рассмотрению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Новоладожское городское</w:t>
      </w:r>
      <w:proofErr w:type="gramEnd"/>
      <w:r w:rsidRPr="004B24D3">
        <w:rPr>
          <w:sz w:val="28"/>
          <w:szCs w:val="28"/>
        </w:rPr>
        <w:t xml:space="preserve"> поселение Волховского муниципального района Ленинградской области, администрация Новоладожского городского поселения </w:t>
      </w:r>
      <w:proofErr w:type="gramStart"/>
      <w:r w:rsidRPr="004B24D3">
        <w:rPr>
          <w:sz w:val="28"/>
          <w:szCs w:val="28"/>
        </w:rPr>
        <w:t>п</w:t>
      </w:r>
      <w:proofErr w:type="gramEnd"/>
      <w:r w:rsidRPr="004B24D3">
        <w:rPr>
          <w:sz w:val="28"/>
          <w:szCs w:val="28"/>
        </w:rPr>
        <w:t xml:space="preserve"> о с т а н о в л я е т:</w:t>
      </w:r>
    </w:p>
    <w:p w:rsidR="004B24D3" w:rsidRPr="004B24D3" w:rsidRDefault="004B24D3" w:rsidP="004B24D3">
      <w:pPr>
        <w:ind w:firstLine="851"/>
        <w:jc w:val="both"/>
        <w:rPr>
          <w:b/>
          <w:sz w:val="28"/>
          <w:szCs w:val="28"/>
        </w:rPr>
      </w:pPr>
    </w:p>
    <w:p w:rsidR="004B24D3" w:rsidRPr="004B24D3" w:rsidRDefault="004B24D3" w:rsidP="004B24D3">
      <w:pPr>
        <w:widowControl w:val="0"/>
        <w:numPr>
          <w:ilvl w:val="0"/>
          <w:numId w:val="4"/>
        </w:numPr>
        <w:autoSpaceDE w:val="0"/>
        <w:autoSpaceDN w:val="0"/>
        <w:adjustRightInd w:val="0"/>
        <w:ind w:firstLine="360"/>
        <w:contextualSpacing/>
        <w:jc w:val="both"/>
        <w:rPr>
          <w:color w:val="000000"/>
          <w:sz w:val="28"/>
          <w:szCs w:val="28"/>
        </w:rPr>
      </w:pPr>
      <w:proofErr w:type="gramStart"/>
      <w:r w:rsidRPr="004B24D3">
        <w:rPr>
          <w:sz w:val="28"/>
          <w:szCs w:val="28"/>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4B24D3">
        <w:rPr>
          <w:sz w:val="28"/>
          <w:szCs w:val="28"/>
        </w:rPr>
        <w:lastRenderedPageBreak/>
        <w:t>участке» на территории муниципального образования Новоладожское городское поселение Волховского муниципального района Ленинградской</w:t>
      </w:r>
      <w:proofErr w:type="gramEnd"/>
      <w:r w:rsidRPr="004B24D3">
        <w:rPr>
          <w:sz w:val="28"/>
          <w:szCs w:val="28"/>
        </w:rPr>
        <w:t xml:space="preserve"> области согласно приложению.</w:t>
      </w:r>
    </w:p>
    <w:p w:rsidR="004B24D3" w:rsidRPr="004B24D3" w:rsidRDefault="004B24D3" w:rsidP="004B24D3">
      <w:pPr>
        <w:widowControl w:val="0"/>
        <w:numPr>
          <w:ilvl w:val="0"/>
          <w:numId w:val="4"/>
        </w:numPr>
        <w:autoSpaceDE w:val="0"/>
        <w:autoSpaceDN w:val="0"/>
        <w:adjustRightInd w:val="0"/>
        <w:ind w:firstLine="360"/>
        <w:jc w:val="both"/>
        <w:rPr>
          <w:color w:val="000000"/>
          <w:sz w:val="28"/>
          <w:szCs w:val="28"/>
        </w:rPr>
      </w:pPr>
      <w:r w:rsidRPr="004B24D3">
        <w:rPr>
          <w:sz w:val="28"/>
          <w:szCs w:val="28"/>
        </w:rPr>
        <w:t xml:space="preserve">Постановление №598 от 26.11.2018 «Об утверждении Административного регламента по предоставлению муниципальной услуги: </w:t>
      </w:r>
      <w:proofErr w:type="gramStart"/>
      <w:r w:rsidRPr="004B24D3">
        <w:rPr>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Новоладожское городское поселение Волховского муниципального района Ленинградской области» считать утратившими силу.</w:t>
      </w:r>
      <w:proofErr w:type="gramEnd"/>
    </w:p>
    <w:p w:rsidR="004B24D3" w:rsidRPr="004B24D3" w:rsidRDefault="004B24D3" w:rsidP="004B24D3">
      <w:pPr>
        <w:widowControl w:val="0"/>
        <w:numPr>
          <w:ilvl w:val="0"/>
          <w:numId w:val="4"/>
        </w:numPr>
        <w:tabs>
          <w:tab w:val="num" w:pos="720"/>
        </w:tabs>
        <w:autoSpaceDE w:val="0"/>
        <w:autoSpaceDN w:val="0"/>
        <w:adjustRightInd w:val="0"/>
        <w:ind w:firstLine="360"/>
        <w:jc w:val="both"/>
        <w:rPr>
          <w:sz w:val="28"/>
          <w:szCs w:val="28"/>
        </w:rPr>
      </w:pPr>
      <w:r w:rsidRPr="004B24D3">
        <w:rPr>
          <w:sz w:val="28"/>
          <w:szCs w:val="28"/>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4B24D3">
        <w:rPr>
          <w:i/>
          <w:color w:val="3333FF"/>
          <w:sz w:val="28"/>
          <w:szCs w:val="28"/>
          <w:u w:val="single"/>
          <w:lang w:val="en-US"/>
        </w:rPr>
        <w:t>www</w:t>
      </w:r>
      <w:r w:rsidRPr="004B24D3">
        <w:rPr>
          <w:i/>
          <w:color w:val="3333FF"/>
          <w:sz w:val="28"/>
          <w:szCs w:val="28"/>
          <w:u w:val="single"/>
        </w:rPr>
        <w:t>.</w:t>
      </w:r>
      <w:r w:rsidRPr="004B24D3">
        <w:rPr>
          <w:i/>
          <w:color w:val="3333FF"/>
          <w:sz w:val="28"/>
          <w:szCs w:val="28"/>
          <w:u w:val="single"/>
          <w:lang w:val="en-US"/>
        </w:rPr>
        <w:t>new</w:t>
      </w:r>
      <w:r w:rsidRPr="004B24D3">
        <w:rPr>
          <w:i/>
          <w:color w:val="3333FF"/>
          <w:sz w:val="28"/>
          <w:szCs w:val="28"/>
          <w:u w:val="single"/>
        </w:rPr>
        <w:t>-</w:t>
      </w:r>
      <w:proofErr w:type="spellStart"/>
      <w:r w:rsidRPr="004B24D3">
        <w:rPr>
          <w:i/>
          <w:color w:val="3333FF"/>
          <w:sz w:val="28"/>
          <w:szCs w:val="28"/>
          <w:u w:val="single"/>
          <w:lang w:val="en-US"/>
        </w:rPr>
        <w:t>ladoga</w:t>
      </w:r>
      <w:proofErr w:type="spellEnd"/>
      <w:r w:rsidRPr="004B24D3">
        <w:rPr>
          <w:i/>
          <w:color w:val="3333FF"/>
          <w:sz w:val="28"/>
          <w:szCs w:val="28"/>
          <w:u w:val="single"/>
        </w:rPr>
        <w:t>-</w:t>
      </w:r>
      <w:proofErr w:type="spellStart"/>
      <w:r w:rsidRPr="004B24D3">
        <w:rPr>
          <w:i/>
          <w:color w:val="3333FF"/>
          <w:sz w:val="28"/>
          <w:szCs w:val="28"/>
          <w:u w:val="single"/>
          <w:lang w:val="en-US"/>
        </w:rPr>
        <w:t>adm</w:t>
      </w:r>
      <w:proofErr w:type="spellEnd"/>
      <w:r w:rsidRPr="004B24D3">
        <w:rPr>
          <w:i/>
          <w:color w:val="3333FF"/>
          <w:sz w:val="28"/>
          <w:szCs w:val="28"/>
          <w:u w:val="single"/>
        </w:rPr>
        <w:t>.</w:t>
      </w:r>
      <w:proofErr w:type="spellStart"/>
      <w:r w:rsidRPr="004B24D3">
        <w:rPr>
          <w:i/>
          <w:color w:val="3333FF"/>
          <w:sz w:val="28"/>
          <w:szCs w:val="28"/>
          <w:u w:val="single"/>
          <w:lang w:val="en-US"/>
        </w:rPr>
        <w:t>ru</w:t>
      </w:r>
      <w:proofErr w:type="spellEnd"/>
      <w:r w:rsidRPr="004B24D3">
        <w:rPr>
          <w:sz w:val="28"/>
          <w:szCs w:val="28"/>
        </w:rPr>
        <w:t>.</w:t>
      </w:r>
    </w:p>
    <w:p w:rsidR="004B24D3" w:rsidRPr="004B24D3" w:rsidRDefault="004B24D3" w:rsidP="004B24D3">
      <w:pPr>
        <w:widowControl w:val="0"/>
        <w:numPr>
          <w:ilvl w:val="0"/>
          <w:numId w:val="4"/>
        </w:numPr>
        <w:tabs>
          <w:tab w:val="num" w:pos="720"/>
        </w:tabs>
        <w:autoSpaceDE w:val="0"/>
        <w:autoSpaceDN w:val="0"/>
        <w:adjustRightInd w:val="0"/>
        <w:spacing w:after="200"/>
        <w:ind w:firstLine="360"/>
        <w:jc w:val="both"/>
        <w:rPr>
          <w:sz w:val="28"/>
          <w:szCs w:val="28"/>
        </w:rPr>
      </w:pPr>
      <w:r w:rsidRPr="004B24D3">
        <w:rPr>
          <w:sz w:val="28"/>
          <w:szCs w:val="28"/>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4B24D3" w:rsidRPr="004B24D3" w:rsidRDefault="004B24D3" w:rsidP="004B24D3">
      <w:pPr>
        <w:ind w:left="644"/>
        <w:jc w:val="both"/>
        <w:rPr>
          <w:sz w:val="28"/>
          <w:szCs w:val="28"/>
        </w:rPr>
      </w:pPr>
    </w:p>
    <w:p w:rsidR="004B24D3" w:rsidRPr="004B24D3" w:rsidRDefault="004B24D3" w:rsidP="004B24D3">
      <w:pPr>
        <w:ind w:left="644"/>
        <w:jc w:val="both"/>
        <w:rPr>
          <w:sz w:val="28"/>
          <w:szCs w:val="28"/>
        </w:rPr>
      </w:pPr>
    </w:p>
    <w:p w:rsidR="000901F2" w:rsidRDefault="004B24D3" w:rsidP="004B24D3">
      <w:pPr>
        <w:autoSpaceDE w:val="0"/>
        <w:autoSpaceDN w:val="0"/>
        <w:adjustRightInd w:val="0"/>
        <w:jc w:val="center"/>
        <w:outlineLvl w:val="0"/>
        <w:rPr>
          <w:sz w:val="28"/>
          <w:szCs w:val="28"/>
        </w:rPr>
      </w:pPr>
      <w:proofErr w:type="spellStart"/>
      <w:r w:rsidRPr="004B24D3">
        <w:rPr>
          <w:sz w:val="28"/>
          <w:szCs w:val="28"/>
        </w:rPr>
        <w:t>И.о</w:t>
      </w:r>
      <w:proofErr w:type="gramStart"/>
      <w:r w:rsidRPr="004B24D3">
        <w:rPr>
          <w:sz w:val="28"/>
          <w:szCs w:val="28"/>
        </w:rPr>
        <w:t>.г</w:t>
      </w:r>
      <w:proofErr w:type="gramEnd"/>
      <w:r w:rsidRPr="004B24D3">
        <w:rPr>
          <w:sz w:val="28"/>
          <w:szCs w:val="28"/>
        </w:rPr>
        <w:t>лавы</w:t>
      </w:r>
      <w:proofErr w:type="spellEnd"/>
      <w:r w:rsidRPr="004B24D3">
        <w:rPr>
          <w:sz w:val="28"/>
          <w:szCs w:val="28"/>
        </w:rPr>
        <w:t xml:space="preserve"> администрации                                                               Е.К. Кравцова</w:t>
      </w: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4B24D3" w:rsidRDefault="004B24D3" w:rsidP="004B24D3">
      <w:pPr>
        <w:autoSpaceDE w:val="0"/>
        <w:autoSpaceDN w:val="0"/>
        <w:adjustRightInd w:val="0"/>
        <w:jc w:val="center"/>
        <w:outlineLvl w:val="0"/>
        <w:rPr>
          <w:sz w:val="28"/>
          <w:szCs w:val="28"/>
        </w:rPr>
      </w:pPr>
    </w:p>
    <w:p w:rsidR="006121C7" w:rsidRDefault="00091417" w:rsidP="00F26724">
      <w:pPr>
        <w:autoSpaceDE w:val="0"/>
        <w:autoSpaceDN w:val="0"/>
        <w:adjustRightInd w:val="0"/>
        <w:jc w:val="center"/>
        <w:outlineLvl w:val="0"/>
        <w:rPr>
          <w:b/>
          <w:sz w:val="28"/>
          <w:szCs w:val="28"/>
        </w:rPr>
      </w:pPr>
      <w:bookmarkStart w:id="0" w:name="_GoBack"/>
      <w:bookmarkEnd w:id="0"/>
      <w:r>
        <w:rPr>
          <w:b/>
          <w:sz w:val="28"/>
          <w:szCs w:val="28"/>
        </w:rPr>
        <w:t>Административный регламент</w:t>
      </w:r>
      <w:r w:rsidR="006E1FB3" w:rsidRPr="00A16E08">
        <w:rPr>
          <w:b/>
          <w:sz w:val="28"/>
          <w:szCs w:val="28"/>
        </w:rPr>
        <w:t xml:space="preserve"> </w:t>
      </w:r>
      <w:r w:rsidR="00C62B5C" w:rsidRPr="00A16E08">
        <w:rPr>
          <w:b/>
          <w:sz w:val="28"/>
          <w:szCs w:val="28"/>
        </w:rPr>
        <w:t>предоставления</w:t>
      </w:r>
      <w:r w:rsidR="00F26724" w:rsidRPr="00A16E08">
        <w:rPr>
          <w:b/>
          <w:sz w:val="28"/>
          <w:szCs w:val="28"/>
        </w:rPr>
        <w:t xml:space="preserve"> </w:t>
      </w:r>
      <w:r w:rsidR="002623CD" w:rsidRPr="00A16E08">
        <w:rPr>
          <w:b/>
          <w:sz w:val="28"/>
          <w:szCs w:val="28"/>
        </w:rPr>
        <w:t xml:space="preserve">на территории </w:t>
      </w:r>
      <w:r w:rsidR="006121C7" w:rsidRPr="00A16E08">
        <w:rPr>
          <w:b/>
          <w:sz w:val="28"/>
          <w:szCs w:val="28"/>
        </w:rPr>
        <w:t xml:space="preserve">на территории </w:t>
      </w:r>
      <w:r w:rsidR="006121C7" w:rsidRPr="00FC3AF1">
        <w:rPr>
          <w:b/>
          <w:sz w:val="28"/>
          <w:szCs w:val="28"/>
        </w:rPr>
        <w:t xml:space="preserve">Новоладожское городское поселение Волховского района </w:t>
      </w:r>
      <w:r w:rsidR="002623CD" w:rsidRPr="00A16E08">
        <w:rPr>
          <w:b/>
          <w:sz w:val="28"/>
          <w:szCs w:val="28"/>
        </w:rPr>
        <w:t xml:space="preserve">Ленинградской области </w:t>
      </w:r>
      <w:r w:rsidR="005E170F" w:rsidRPr="00A16E08">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091417">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005E170F"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на земельном участке» </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A16E08">
        <w:rPr>
          <w:b/>
          <w:bCs/>
          <w:sz w:val="28"/>
          <w:szCs w:val="28"/>
        </w:rPr>
        <w:t xml:space="preserve">1. Общие положения  </w:t>
      </w:r>
    </w:p>
    <w:bookmarkEnd w:id="1"/>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2"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на сайте Администрации:</w:t>
      </w:r>
      <w:r w:rsidR="005A0372" w:rsidRPr="005A0372">
        <w:t xml:space="preserve"> </w:t>
      </w:r>
      <w:r w:rsidR="005A0372" w:rsidRPr="005A0372">
        <w:rPr>
          <w:sz w:val="28"/>
          <w:szCs w:val="28"/>
        </w:rPr>
        <w:t>https://new-ladoga-adm.ru/</w:t>
      </w:r>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A16E08">
        <w:rPr>
          <w:b/>
          <w:bCs/>
          <w:sz w:val="28"/>
          <w:szCs w:val="28"/>
        </w:rPr>
        <w:lastRenderedPageBreak/>
        <w:t xml:space="preserve">2. Стандарт предоставления </w:t>
      </w:r>
      <w:r w:rsidR="00D22AAC" w:rsidRPr="00091417">
        <w:rPr>
          <w:b/>
          <w:sz w:val="28"/>
          <w:szCs w:val="28"/>
        </w:rPr>
        <w:t>муниципальной</w:t>
      </w:r>
      <w:r w:rsidRPr="00A16E08">
        <w:rPr>
          <w:b/>
          <w:bCs/>
          <w:sz w:val="28"/>
          <w:szCs w:val="28"/>
        </w:rPr>
        <w:t xml:space="preserve"> услуги</w:t>
      </w:r>
      <w:bookmarkEnd w:id="3"/>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5" w:name="sub_1022"/>
      <w:bookmarkEnd w:id="4"/>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091417">
        <w:rPr>
          <w:sz w:val="28"/>
          <w:szCs w:val="28"/>
        </w:rPr>
        <w:t xml:space="preserve">или реконструкции объекта индивидуального жилищного строительства или садового </w:t>
      </w:r>
      <w:r w:rsidR="00D1730E" w:rsidRPr="00091417">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6" w:name="sub_1023"/>
      <w:bookmarkEnd w:id="5"/>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МО </w:t>
      </w:r>
      <w:r w:rsidR="00091417">
        <w:rPr>
          <w:sz w:val="28"/>
          <w:szCs w:val="28"/>
        </w:rPr>
        <w:t>Новоладожское городское поселение Волховского района</w:t>
      </w:r>
      <w:r w:rsidRPr="00A16E08">
        <w:rPr>
          <w:sz w:val="28"/>
          <w:szCs w:val="28"/>
        </w:rPr>
        <w:t xml:space="preserve"> 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5A0372">
        <w:rPr>
          <w:sz w:val="28"/>
          <w:szCs w:val="28"/>
        </w:rPr>
        <w:t>ведущий специалист-архитектор</w:t>
      </w:r>
      <w:r w:rsidRPr="00A16E08">
        <w:rPr>
          <w:sz w:val="28"/>
          <w:szCs w:val="28"/>
        </w:rPr>
        <w:t>;</w:t>
      </w:r>
    </w:p>
    <w:p w:rsidR="00797DFD" w:rsidRPr="00A16E08" w:rsidRDefault="00797DFD" w:rsidP="00797DFD">
      <w:pPr>
        <w:tabs>
          <w:tab w:val="left" w:pos="142"/>
        </w:tabs>
        <w:ind w:firstLine="567"/>
        <w:jc w:val="both"/>
        <w:rPr>
          <w:sz w:val="16"/>
          <w:szCs w:val="16"/>
        </w:rPr>
      </w:pPr>
      <w:r w:rsidRPr="00A16E08">
        <w:rPr>
          <w:sz w:val="20"/>
          <w:szCs w:val="20"/>
        </w:rPr>
        <w:t xml:space="preserve">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091417">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 xml:space="preserve">в </w:t>
      </w:r>
      <w:r w:rsidR="00B0496F" w:rsidRPr="00A16E08">
        <w:rPr>
          <w:sz w:val="28"/>
          <w:szCs w:val="28"/>
        </w:rPr>
        <w:lastRenderedPageBreak/>
        <w:t>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8" w:name="sub_121028"/>
      <w:bookmarkStart w:id="9" w:name="sub_1028"/>
      <w:bookmarkEnd w:id="7"/>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rPr>
      </w:pP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lastRenderedPageBreak/>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16E08">
        <w:rPr>
          <w:rFonts w:ascii="Times New Roman" w:hAnsi="Times New Roman" w:cs="Times New Roman"/>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w:t>
      </w:r>
      <w:r w:rsidRPr="00A16E08">
        <w:rPr>
          <w:sz w:val="28"/>
          <w:szCs w:val="28"/>
        </w:rPr>
        <w:lastRenderedPageBreak/>
        <w:t>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091417">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 xml:space="preserve">Получен отказ федерального органа исполнительной власти (его территориального органа) на основании отраслевого законодательства в согласовании </w:t>
      </w:r>
      <w:r w:rsidRPr="00A16E08">
        <w:rPr>
          <w:bCs/>
          <w:sz w:val="28"/>
          <w:szCs w:val="28"/>
        </w:rPr>
        <w:lastRenderedPageBreak/>
        <w:t>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rPr>
      </w:pP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1"/>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3"/>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lastRenderedPageBreak/>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w:t>
      </w:r>
      <w:r w:rsidRPr="00A16E08">
        <w:rPr>
          <w:sz w:val="28"/>
          <w:szCs w:val="28"/>
        </w:rPr>
        <w:lastRenderedPageBreak/>
        <w:t xml:space="preserve">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w:t>
      </w:r>
      <w:r w:rsidRPr="00A16E08">
        <w:rPr>
          <w:rFonts w:ascii="Times New Roman" w:hAnsi="Times New Roman" w:cs="Times New Roman"/>
          <w:sz w:val="28"/>
          <w:szCs w:val="28"/>
        </w:rPr>
        <w:lastRenderedPageBreak/>
        <w:t xml:space="preserve">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091417">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091417">
        <w:rPr>
          <w:bCs/>
          <w:color w:val="000000"/>
          <w:sz w:val="28"/>
          <w:szCs w:val="28"/>
        </w:rPr>
        <w:t>Д</w:t>
      </w:r>
      <w:r w:rsidR="001C5BA7" w:rsidRPr="00091417">
        <w:rPr>
          <w:bCs/>
          <w:color w:val="000000"/>
          <w:sz w:val="28"/>
          <w:szCs w:val="28"/>
        </w:rPr>
        <w:t xml:space="preserve">опускается формирование </w:t>
      </w:r>
      <w:r w:rsidR="00F82AD9" w:rsidRPr="00091417">
        <w:rPr>
          <w:bCs/>
          <w:color w:val="000000"/>
          <w:sz w:val="28"/>
          <w:szCs w:val="28"/>
        </w:rPr>
        <w:t xml:space="preserve">электронного документа </w:t>
      </w:r>
      <w:r w:rsidRPr="00091417">
        <w:rPr>
          <w:bCs/>
          <w:color w:val="000000"/>
          <w:sz w:val="28"/>
          <w:szCs w:val="28"/>
        </w:rPr>
        <w:t>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A16E08">
        <w:rPr>
          <w:rFonts w:ascii="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A16E08">
        <w:rPr>
          <w:rFonts w:ascii="Times New Roman" w:hAnsi="Times New Roman" w:cs="Times New Roman"/>
          <w:sz w:val="28"/>
          <w:szCs w:val="28"/>
        </w:rPr>
        <w:t>Ууслуги</w:t>
      </w:r>
      <w:proofErr w:type="spellEnd"/>
      <w:r w:rsidRPr="00A16E08">
        <w:rPr>
          <w:rFonts w:ascii="Times New Roman" w:hAnsi="Times New Roman" w:cs="Times New Roman"/>
          <w:sz w:val="28"/>
          <w:szCs w:val="28"/>
        </w:rPr>
        <w:t xml:space="preserve">, запроса, указанного в </w:t>
      </w:r>
      <w:hyperlink r:id="rId20"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w:t>
      </w:r>
      <w:r w:rsidRPr="00A16E08">
        <w:rPr>
          <w:rFonts w:ascii="Times New Roman" w:hAnsi="Times New Roman" w:cs="Times New Roman"/>
          <w:sz w:val="28"/>
          <w:szCs w:val="28"/>
        </w:rPr>
        <w:lastRenderedPageBreak/>
        <w:t>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16E0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w:t>
      </w:r>
      <w:r w:rsidRPr="00A16E08">
        <w:rPr>
          <w:rFonts w:ascii="Times New Roman" w:hAnsi="Times New Roman" w:cs="Times New Roman"/>
          <w:sz w:val="28"/>
          <w:szCs w:val="28"/>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091417" w:rsidRDefault="00091417" w:rsidP="008E5762">
      <w:pPr>
        <w:autoSpaceDE w:val="0"/>
        <w:autoSpaceDN w:val="0"/>
        <w:adjustRightInd w:val="0"/>
        <w:jc w:val="right"/>
        <w:rPr>
          <w:bCs/>
          <w:szCs w:val="28"/>
        </w:rPr>
      </w:pP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6121C7">
        <w:trPr>
          <w:trHeight w:val="14449"/>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9"/>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35" w:rsidRDefault="00431635">
      <w:r>
        <w:separator/>
      </w:r>
    </w:p>
  </w:endnote>
  <w:endnote w:type="continuationSeparator" w:id="0">
    <w:p w:rsidR="00431635" w:rsidRDefault="0043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35" w:rsidRDefault="00431635">
      <w:r>
        <w:separator/>
      </w:r>
    </w:p>
  </w:footnote>
  <w:footnote w:type="continuationSeparator" w:id="0">
    <w:p w:rsidR="00431635" w:rsidRDefault="0043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091417" w:rsidRDefault="00431635">
        <w:pPr>
          <w:pStyle w:val="a7"/>
          <w:jc w:val="center"/>
        </w:pPr>
        <w:r>
          <w:fldChar w:fldCharType="begin"/>
        </w:r>
        <w:r>
          <w:instrText>PAGE   \* MERGEFORMAT</w:instrText>
        </w:r>
        <w:r>
          <w:fldChar w:fldCharType="separate"/>
        </w:r>
        <w:r w:rsidR="004B24D3">
          <w:rPr>
            <w:noProof/>
          </w:rPr>
          <w:t>35</w:t>
        </w:r>
        <w:r>
          <w:rPr>
            <w:noProof/>
          </w:rPr>
          <w:fldChar w:fldCharType="end"/>
        </w:r>
      </w:p>
    </w:sdtContent>
  </w:sdt>
  <w:p w:rsidR="00091417" w:rsidRDefault="000914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0F1EC6"/>
    <w:multiLevelType w:val="hybridMultilevel"/>
    <w:tmpl w:val="6D364054"/>
    <w:lvl w:ilvl="0" w:tplc="5E845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1417"/>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1635"/>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4D3"/>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0372"/>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1C7"/>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634E"/>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9F50B9"/>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20689"/>
    <w:rsid w:val="00C34A6B"/>
    <w:rsid w:val="00C43E9C"/>
    <w:rsid w:val="00C51BC9"/>
    <w:rsid w:val="00C533BD"/>
    <w:rsid w:val="00C54BC0"/>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3AF1"/>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B9"/>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23EC-C4F9-4338-926B-0FCCE36E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11436</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архитектор новый комп</cp:lastModifiedBy>
  <cp:revision>7</cp:revision>
  <cp:lastPrinted>2017-04-24T14:01:00Z</cp:lastPrinted>
  <dcterms:created xsi:type="dcterms:W3CDTF">2022-10-19T14:44:00Z</dcterms:created>
  <dcterms:modified xsi:type="dcterms:W3CDTF">2023-01-27T11:28:00Z</dcterms:modified>
</cp:coreProperties>
</file>